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59" w:rsidRDefault="00703659" w:rsidP="00703659">
      <w:pPr>
        <w:widowControl/>
        <w:spacing w:line="580" w:lineRule="exact"/>
        <w:jc w:val="center"/>
        <w:rPr>
          <w:rFonts w:ascii="方正小标宋简体" w:eastAsia="方正小标宋简体" w:hAnsi="华文中宋"/>
          <w:sz w:val="44"/>
          <w:szCs w:val="24"/>
        </w:rPr>
      </w:pPr>
      <w:r>
        <w:rPr>
          <w:rFonts w:ascii="方正小标宋简体" w:eastAsia="方正小标宋简体" w:hAnsi="华文中宋" w:hint="eastAsia"/>
          <w:sz w:val="44"/>
          <w:szCs w:val="24"/>
        </w:rPr>
        <w:t>赤峰学院高质量发展行动方案</w:t>
      </w:r>
    </w:p>
    <w:p w:rsidR="00703659" w:rsidRDefault="00703659" w:rsidP="00703659">
      <w:pPr>
        <w:spacing w:after="100" w:afterAutospacing="1" w:line="5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24"/>
        </w:rPr>
        <w:t>（2021～2023年）</w:t>
      </w:r>
    </w:p>
    <w:p w:rsidR="00703659" w:rsidRDefault="00703659" w:rsidP="00703659">
      <w:pPr>
        <w:pStyle w:val="1"/>
        <w:spacing w:before="156" w:after="156" w:line="560" w:lineRule="exact"/>
        <w:ind w:firstLineChars="0" w:firstLine="0"/>
        <w:rPr>
          <w:rFonts w:ascii="黑体" w:hAnsi="黑体"/>
          <w:b w:val="0"/>
        </w:rPr>
      </w:pPr>
      <w:r>
        <w:rPr>
          <w:rFonts w:ascii="黑体" w:hAnsi="黑体" w:hint="eastAsia"/>
        </w:rPr>
        <w:t>行动目标</w:t>
      </w:r>
    </w:p>
    <w:p w:rsidR="00703659" w:rsidRDefault="00703659" w:rsidP="00703659">
      <w:pPr>
        <w:widowControl/>
        <w:spacing w:line="56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通过三年建设，学校内涵建设、转型发展、创建赤峰大学、综合改革取得明显成效，人才培养体系、学科发展体系、科研创新体系、教师队伍体系和教育评价体系逐步完善，研究生学位点建设和科研创新实现新突破，办学条件得到根本改善，治理体系不断完善，治理效能不断提升，人才培养质量和服务地方水平实现新跨越，基本达到国家大学设置的总体要求，基本形成全面高质量转型发展、全面开放合作、全方位服务地方办学新格局，为高质量完成学校“十四五”规划目标任务奠定坚实基础，开启全面建设特色鲜明的区域性高水平应用型大学新征程。重点领域行动目标如下：</w:t>
      </w:r>
    </w:p>
    <w:p w:rsidR="00703659" w:rsidRDefault="00703659" w:rsidP="00703659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spacing w:val="6"/>
          <w:sz w:val="32"/>
          <w:szCs w:val="32"/>
        </w:rPr>
      </w:pPr>
      <w:r>
        <w:rPr>
          <w:rFonts w:ascii="楷体" w:eastAsia="楷体" w:hAnsi="楷体" w:hint="eastAsia"/>
          <w:sz w:val="32"/>
        </w:rPr>
        <w:t>——教师队伍结构和质量不断优化，人才引育和激励机制不断完善。</w:t>
      </w:r>
      <w:r>
        <w:rPr>
          <w:rFonts w:ascii="仿宋" w:eastAsia="仿宋" w:hAnsi="仿宋" w:hint="eastAsia"/>
          <w:sz w:val="32"/>
        </w:rPr>
        <w:t>教师队伍建设取得明显成效，高层次人才和团队引育机制、激励机制得到完善，师德高尚、规模适当、结构合理、素质优良的教师队伍基本形成。到2</w:t>
      </w:r>
      <w:r>
        <w:rPr>
          <w:rFonts w:ascii="仿宋" w:eastAsia="仿宋" w:hAnsi="仿宋"/>
          <w:sz w:val="32"/>
        </w:rPr>
        <w:t>023</w:t>
      </w:r>
      <w:r>
        <w:rPr>
          <w:rFonts w:ascii="仿宋" w:eastAsia="仿宋" w:hAnsi="仿宋" w:hint="eastAsia"/>
          <w:sz w:val="32"/>
        </w:rPr>
        <w:t>年，</w:t>
      </w:r>
      <w:r>
        <w:rPr>
          <w:rFonts w:ascii="仿宋" w:eastAsia="仿宋" w:hAnsi="仿宋" w:cs="宋体" w:hint="eastAsia"/>
          <w:spacing w:val="6"/>
          <w:sz w:val="32"/>
          <w:szCs w:val="32"/>
        </w:rPr>
        <w:t>专任教师达到1050人左右，生师比14</w:t>
      </w:r>
      <w:r>
        <w:rPr>
          <w:rFonts w:ascii="仿宋" w:eastAsia="仿宋" w:hAnsi="仿宋" w:cs="宋体" w:hint="eastAsia"/>
          <w:spacing w:val="6"/>
          <w:sz w:val="28"/>
          <w:szCs w:val="32"/>
        </w:rPr>
        <w:t>∶</w:t>
      </w:r>
      <w:r>
        <w:rPr>
          <w:rFonts w:ascii="仿宋" w:eastAsia="仿宋" w:hAnsi="仿宋" w:cs="宋体" w:hint="eastAsia"/>
          <w:spacing w:val="6"/>
          <w:sz w:val="32"/>
          <w:szCs w:val="32"/>
        </w:rPr>
        <w:t>1；博士教师增加125人，具有博士学位教师比例达到专任教师总数的30%以上，其中45岁以下具有博士学位教师数占比达到70％左右;培养若干骨干人才，柔性或刚性引进2-4个高层次人才团队或领军人才，柔性引进历史学（考古与中国史）、口腔医学、农作物与生态修复、生物化工等科研创新团队；高级职称专任教师数保持在500人以上，占专任教师总数的50％左</w:t>
      </w:r>
      <w:r>
        <w:rPr>
          <w:rFonts w:ascii="仿宋" w:eastAsia="仿宋" w:hAnsi="仿宋" w:cs="宋体" w:hint="eastAsia"/>
          <w:spacing w:val="6"/>
          <w:sz w:val="32"/>
          <w:szCs w:val="32"/>
        </w:rPr>
        <w:lastRenderedPageBreak/>
        <w:t>右；“双师双能型”教师比例达到专任教师总数的3</w:t>
      </w:r>
      <w:r>
        <w:rPr>
          <w:rFonts w:ascii="仿宋" w:eastAsia="仿宋" w:hAnsi="仿宋" w:cs="宋体"/>
          <w:spacing w:val="6"/>
          <w:sz w:val="32"/>
          <w:szCs w:val="32"/>
        </w:rPr>
        <w:t>0</w:t>
      </w:r>
      <w:r>
        <w:rPr>
          <w:rFonts w:ascii="仿宋" w:eastAsia="仿宋" w:hAnsi="仿宋" w:cs="宋体" w:hint="eastAsia"/>
          <w:spacing w:val="6"/>
          <w:sz w:val="32"/>
          <w:szCs w:val="32"/>
        </w:rPr>
        <w:t>%左右。</w:t>
      </w:r>
    </w:p>
    <w:p w:rsidR="00703659" w:rsidRDefault="00703659" w:rsidP="00703659">
      <w:pPr>
        <w:autoSpaceDE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楷体" w:eastAsia="楷体" w:hAnsi="楷体" w:hint="eastAsia"/>
          <w:sz w:val="32"/>
        </w:rPr>
        <w:t>——本科教育规模结构合理适当，培养质量稳步提升。</w:t>
      </w:r>
      <w:r>
        <w:rPr>
          <w:rFonts w:ascii="仿宋" w:eastAsia="仿宋" w:hAnsi="仿宋" w:hint="eastAsia"/>
          <w:sz w:val="32"/>
        </w:rPr>
        <w:t>大思政格局基本形成，“五育并举”的本科人才培养体系不断完善，教学改革取得成效，专业、课程、教材、实践等环节的建设质量稳步提升，教学质量监控体系得以完善，人才培养质量稳步提升，就业创业水平达到新高度，立德树人根本任务得到有效落实。到2023年，出台新版《本科人才培养方案制订的指导意见》，构建较完善的专业动态调整和招生-培养-就业联动机制，全日制本科招生专业数控制在53个以内，努力建成自治区级一流本科专业点15个左右，建成国家级一流本科专业点1个，建成自治区级一流本科课程30门，建成国家级一流本科课程1门，在2022年获得2个以上国家级教学成果一、二等奖或自治区级教学成果一等奖，全面提高校外实践基地数量、建设质量和使用效益。</w:t>
      </w:r>
    </w:p>
    <w:p w:rsidR="00703659" w:rsidRDefault="00703659" w:rsidP="00703659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楷体" w:eastAsia="楷体" w:hAnsi="楷体" w:hint="eastAsia"/>
          <w:sz w:val="32"/>
        </w:rPr>
        <w:t>——研究生教育规模不断扩大，研究生教育质量稳步提升。</w:t>
      </w:r>
      <w:r>
        <w:rPr>
          <w:rFonts w:ascii="仿宋" w:eastAsia="仿宋" w:hAnsi="仿宋" w:cs="仿宋" w:hint="eastAsia"/>
          <w:kern w:val="0"/>
          <w:sz w:val="32"/>
          <w:szCs w:val="32"/>
        </w:rPr>
        <w:t>研究生教育规模持续扩大，到2023年，硕士研究生在校生人数到达700人。紧紧围绕立德树人根本任务，内涵建设持续加强，研究生教育机制体制不断完善，导师队伍建设扎实推进，育人环境得以优化，培养质量稳步提升。</w:t>
      </w:r>
    </w:p>
    <w:p w:rsidR="00703659" w:rsidRDefault="00703659" w:rsidP="00703659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楷体" w:eastAsia="楷体" w:hAnsi="楷体" w:hint="eastAsia"/>
          <w:sz w:val="32"/>
        </w:rPr>
        <w:t>——学科体系逐步完善，研究生学位点快速拓展。</w:t>
      </w:r>
      <w:r>
        <w:rPr>
          <w:rFonts w:ascii="仿宋" w:eastAsia="仿宋" w:hAnsi="仿宋" w:cs="宋体" w:hint="eastAsia"/>
          <w:kern w:val="0"/>
          <w:sz w:val="32"/>
          <w:szCs w:val="32"/>
        </w:rPr>
        <w:t>聚焦学校高质量发展，锚定自治区一流水平，资源投入力度不断加大，学科布局持续优化，优势特色学科得以重点强化；基础学科进一步夯实，学科支撑作用充分发挥；聚焦应用型人才培养和地方经济社会文化发展需要，应用学科重点发展，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新兴学科积极培育。研究生学位点内涵建设得以强化，专业学位授权点快速拓展，依托优势学科启动博士点筹建工作。力争到2023年实现自治区一流学科的突破，硕士点达到10-12个，学科实力显著提升，形成高质量学科发展体系。</w:t>
      </w:r>
    </w:p>
    <w:p w:rsidR="00703659" w:rsidRDefault="00703659" w:rsidP="00703659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楷体" w:eastAsia="楷体" w:hAnsi="楷体" w:hint="eastAsia"/>
          <w:sz w:val="32"/>
        </w:rPr>
        <w:t>——科学研究取得实质性进展，科技成果产出及成果转化能力实现新突破。</w:t>
      </w:r>
      <w:r>
        <w:rPr>
          <w:rFonts w:ascii="仿宋" w:eastAsia="仿宋" w:hAnsi="仿宋" w:hint="eastAsia"/>
          <w:sz w:val="32"/>
          <w:szCs w:val="32"/>
        </w:rPr>
        <w:t>主题、人才、项目、平台、成果“五位一体”科研高质量发展模式基本形成，科研创新能力快速提升，平台建设不断完善，成果转化再创新高，产学研用合作机制更加健全，科技考核评价机制更加完善。2021～2023年，获批自治区高等学校“青年科技英才支持计划” 6-9人，获批自治区科研创新团队1-2个；年均科研经费达到3000万元；自治区级以上（含自治区级）重点实验室新增2-3个，自治区级或省部级社科研究基地新增1-2个、国家级科普教育基地/科普示范基地新增1-2个；科研成果获得自治区、部级以上（含自治区、部级）奖励20项，其中至少有2项国家级奖励；成果转化和技术转移平台建成1-2个、成果应用转化6-10项。</w:t>
      </w:r>
    </w:p>
    <w:p w:rsidR="00703659" w:rsidRDefault="00703659" w:rsidP="00703659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楷体" w:eastAsia="楷体" w:hAnsi="楷体" w:hint="eastAsia"/>
          <w:sz w:val="32"/>
        </w:rPr>
        <w:t>——办学条件实现根本性改善，现代化校园建设取得显著成效。</w:t>
      </w:r>
      <w:r>
        <w:rPr>
          <w:rFonts w:ascii="仿宋" w:eastAsia="仿宋" w:hAnsi="仿宋" w:hint="eastAsia"/>
          <w:sz w:val="32"/>
        </w:rPr>
        <w:t>校园空间规划充分体现“绿色·人文·智慧”理念，基本完成南校区建设和北校区提升改造工程，学校办学条件建设和办学环境提升改善取得明显成效。顺利通过自治区“数字校园标杆学校建设单位”验收，实现“一站式服务”“一网通办”。绿色校园建设体制机制和健康和谐的特色校园文化基本形成，绿色校园建设取得实效。到</w:t>
      </w:r>
      <w:r>
        <w:rPr>
          <w:rFonts w:ascii="仿宋" w:eastAsia="仿宋" w:hAnsi="仿宋"/>
          <w:sz w:val="32"/>
        </w:rPr>
        <w:t>2023</w:t>
      </w:r>
      <w:r>
        <w:rPr>
          <w:rFonts w:ascii="仿宋" w:eastAsia="仿宋" w:hAnsi="仿宋" w:hint="eastAsia"/>
          <w:sz w:val="32"/>
        </w:rPr>
        <w:t>年，学校</w:t>
      </w:r>
      <w:r>
        <w:rPr>
          <w:rFonts w:ascii="仿宋" w:eastAsia="仿宋" w:hAnsi="仿宋" w:hint="eastAsia"/>
          <w:sz w:val="32"/>
        </w:rPr>
        <w:lastRenderedPageBreak/>
        <w:t>生均占地面积达到</w:t>
      </w:r>
      <w:r>
        <w:rPr>
          <w:rFonts w:ascii="仿宋" w:eastAsia="仿宋" w:hAnsi="仿宋"/>
          <w:sz w:val="32"/>
        </w:rPr>
        <w:t>60</w:t>
      </w:r>
      <w:r>
        <w:rPr>
          <w:rFonts w:ascii="仿宋" w:eastAsia="仿宋" w:hAnsi="仿宋" w:hint="eastAsia"/>
          <w:sz w:val="32"/>
        </w:rPr>
        <w:t>平方米、生均校舍建筑面积达到</w:t>
      </w:r>
      <w:r>
        <w:rPr>
          <w:rFonts w:ascii="仿宋" w:eastAsia="仿宋" w:hAnsi="仿宋"/>
          <w:sz w:val="32"/>
        </w:rPr>
        <w:t>30</w:t>
      </w:r>
      <w:r>
        <w:rPr>
          <w:rFonts w:ascii="仿宋" w:eastAsia="仿宋" w:hAnsi="仿宋" w:hint="eastAsia"/>
          <w:sz w:val="32"/>
        </w:rPr>
        <w:t>平方米、生均教学科研行政用房达到</w:t>
      </w:r>
      <w:r>
        <w:rPr>
          <w:rFonts w:ascii="仿宋" w:eastAsia="仿宋" w:hAnsi="仿宋"/>
          <w:sz w:val="32"/>
        </w:rPr>
        <w:t>20</w:t>
      </w:r>
      <w:r>
        <w:rPr>
          <w:rFonts w:ascii="仿宋" w:eastAsia="仿宋" w:hAnsi="仿宋" w:hint="eastAsia"/>
          <w:sz w:val="32"/>
        </w:rPr>
        <w:t>平方米，美丽校园、智慧校园、文化校园、绿色校园、平安校园建设目标基本实现。</w:t>
      </w:r>
    </w:p>
    <w:p w:rsidR="00703659" w:rsidRDefault="00703659" w:rsidP="00703659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楷体" w:eastAsia="楷体" w:hAnsi="楷体" w:hint="eastAsia"/>
          <w:sz w:val="32"/>
        </w:rPr>
        <w:t>——治理体系不断完善，治理效能持续提升。</w:t>
      </w:r>
      <w:r>
        <w:rPr>
          <w:rFonts w:ascii="仿宋" w:eastAsia="仿宋" w:hAnsi="仿宋" w:hint="eastAsia"/>
          <w:sz w:val="32"/>
        </w:rPr>
        <w:t>党对学校工作的全面领导不断强化，党委领导下的校长负责制得以全面贯彻落实，学术治理、民主管理、民主监督机制更加完善</w:t>
      </w:r>
      <w:r>
        <w:rPr>
          <w:rFonts w:ascii="仿宋" w:eastAsia="仿宋" w:hAnsi="仿宋"/>
          <w:sz w:val="32"/>
        </w:rPr>
        <w:t>，依法治校</w:t>
      </w:r>
      <w:r>
        <w:rPr>
          <w:rFonts w:ascii="仿宋" w:eastAsia="仿宋" w:hAnsi="仿宋" w:hint="eastAsia"/>
          <w:sz w:val="32"/>
        </w:rPr>
        <w:t>能力和水平不断提升</w:t>
      </w:r>
      <w:r>
        <w:rPr>
          <w:rFonts w:ascii="仿宋" w:eastAsia="仿宋" w:hAnsi="仿宋"/>
          <w:sz w:val="32"/>
        </w:rPr>
        <w:t>。</w:t>
      </w:r>
      <w:r>
        <w:rPr>
          <w:rFonts w:ascii="仿宋" w:eastAsia="仿宋" w:hAnsi="仿宋" w:hint="eastAsia"/>
          <w:sz w:val="32"/>
        </w:rPr>
        <w:t>学校章程全面贯彻执行，</w:t>
      </w:r>
      <w:r>
        <w:rPr>
          <w:rFonts w:ascii="仿宋" w:eastAsia="仿宋" w:hAnsi="仿宋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章程为核心</w:t>
      </w:r>
      <w:r>
        <w:rPr>
          <w:rFonts w:ascii="仿宋" w:eastAsia="仿宋" w:hAnsi="仿宋"/>
          <w:sz w:val="32"/>
        </w:rPr>
        <w:t>、有利于学校</w:t>
      </w:r>
      <w:r>
        <w:rPr>
          <w:rFonts w:ascii="仿宋" w:eastAsia="仿宋" w:hAnsi="仿宋" w:hint="eastAsia"/>
          <w:sz w:val="32"/>
        </w:rPr>
        <w:t>高质量</w:t>
      </w:r>
      <w:r>
        <w:rPr>
          <w:rFonts w:ascii="仿宋" w:eastAsia="仿宋" w:hAnsi="仿宋"/>
          <w:sz w:val="32"/>
        </w:rPr>
        <w:t>发展的制度</w:t>
      </w:r>
      <w:r>
        <w:rPr>
          <w:rFonts w:ascii="仿宋" w:eastAsia="仿宋" w:hAnsi="仿宋" w:hint="eastAsia"/>
          <w:sz w:val="32"/>
        </w:rPr>
        <w:t>体系和内部治理机制得以不断完善，学校、二级学院与附属单位的体制机制更加科学合理，实现管理重心下移，学校办学活力和全体教职工的干事创业热情得到充分激发。校地、校企、校校、国际合作深化拓展，国际化办学体系和各领域合作办学机制不断完善，实现合作共建、共享共赢，开放办学格局基本形成。</w:t>
      </w:r>
    </w:p>
    <w:p w:rsidR="005A733D" w:rsidRPr="00703659" w:rsidRDefault="005A733D">
      <w:bookmarkStart w:id="0" w:name="_GoBack"/>
      <w:bookmarkEnd w:id="0"/>
    </w:p>
    <w:sectPr w:rsidR="005A733D" w:rsidRPr="0070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3C" w:rsidRDefault="0034453C" w:rsidP="00703659">
      <w:r>
        <w:separator/>
      </w:r>
    </w:p>
  </w:endnote>
  <w:endnote w:type="continuationSeparator" w:id="0">
    <w:p w:rsidR="0034453C" w:rsidRDefault="0034453C" w:rsidP="0070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3C" w:rsidRDefault="0034453C" w:rsidP="00703659">
      <w:r>
        <w:separator/>
      </w:r>
    </w:p>
  </w:footnote>
  <w:footnote w:type="continuationSeparator" w:id="0">
    <w:p w:rsidR="0034453C" w:rsidRDefault="0034453C" w:rsidP="0070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0F"/>
    <w:rsid w:val="0034453C"/>
    <w:rsid w:val="005A733D"/>
    <w:rsid w:val="00703659"/>
    <w:rsid w:val="007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D36C0-890B-4138-8AD1-B6D229C8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5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3659"/>
    <w:pPr>
      <w:keepNext/>
      <w:keepLines/>
      <w:spacing w:beforeLines="50" w:afterLines="50" w:line="578" w:lineRule="auto"/>
      <w:ind w:firstLineChars="200" w:firstLine="20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65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703659"/>
    <w:rPr>
      <w:rFonts w:eastAsia="黑体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2023-09-12T08:27:00Z</dcterms:created>
  <dcterms:modified xsi:type="dcterms:W3CDTF">2023-09-12T08:27:00Z</dcterms:modified>
</cp:coreProperties>
</file>